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Prilog 1A</w:t>
      </w:r>
    </w:p>
    <w:p>
      <w:pPr>
        <w:pStyle w:val="Normal"/>
        <w:rPr>
          <w:b/>
          <w:b/>
          <w:bCs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b/>
          <w:bCs/>
          <w:sz w:val="32"/>
          <w:szCs w:val="32"/>
        </w:rPr>
        <w:t>SPECIFIKACIJA PROIZVODA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NAZIV PROIZVODA:   ULJE</w:t>
      </w:r>
    </w:p>
    <w:p>
      <w:pPr>
        <w:pStyle w:val="Normal"/>
        <w:spacing w:before="0" w:after="0"/>
        <w:rPr/>
      </w:pPr>
      <w:r>
        <w:rPr>
          <w:b/>
          <w:bCs/>
        </w:rPr>
        <w:t xml:space="preserve">VRSTA PROIZVODA : </w:t>
      </w:r>
      <w:r>
        <w:rPr/>
        <w:t xml:space="preserve">SUNCOKRETOVO, MASLINOVO, BUČINO ULJE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SENZORSKA SVOJSTVA</w:t>
      </w: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 xml:space="preserve">TEMELJNI ZAHTJEVI: </w:t>
      </w:r>
      <w:r>
        <w:rPr/>
        <w:t>SUKLADNO ODGOVARAJUĆEM PRAVILNIKU</w:t>
      </w:r>
    </w:p>
    <w:p>
      <w:pPr>
        <w:pStyle w:val="Normal"/>
        <w:rPr/>
      </w:pPr>
      <w:r>
        <w:rPr>
          <w:b/>
          <w:bCs/>
        </w:rPr>
        <w:t>SUNCOKRETOVO ULJE</w:t>
      </w:r>
      <w:r>
        <w:rPr/>
        <w:t>:</w:t>
      </w:r>
    </w:p>
    <w:p>
      <w:pPr>
        <w:pStyle w:val="Normal"/>
        <w:rPr/>
      </w:pPr>
      <w:r>
        <w:rPr/>
        <w:t>Karakteristična senzorska svojstva(izgled, miris i okus):</w:t>
      </w:r>
    </w:p>
    <w:p>
      <w:pPr>
        <w:pStyle w:val="Normal"/>
        <w:rPr/>
      </w:pPr>
      <w:r>
        <w:rPr/>
        <w:t xml:space="preserve">- </w:t>
      </w:r>
      <w:r>
        <w:rPr>
          <w:rFonts w:cs="Calibri"/>
          <w:sz w:val="22"/>
          <w:szCs w:val="22"/>
        </w:rPr>
        <w:t>Proizvod dobiven postupkom rafinacije jedne ili više vrsta sirovih biljnih ulja</w:t>
      </w:r>
    </w:p>
    <w:p>
      <w:pPr>
        <w:pStyle w:val="Normal"/>
        <w:rPr/>
      </w:pPr>
      <w:r>
        <w:rPr>
          <w:rFonts w:cs="Calibri"/>
          <w:sz w:val="22"/>
          <w:szCs w:val="22"/>
        </w:rPr>
        <w:t xml:space="preserve">- </w:t>
      </w:r>
      <w:r>
        <w:rPr/>
        <w:t>Prozirna i svjetla boja</w:t>
      </w:r>
    </w:p>
    <w:p>
      <w:pPr>
        <w:pStyle w:val="Normal"/>
        <w:rPr/>
      </w:pPr>
      <w:r>
        <w:rPr/>
        <w:t>- Bez umjetnih aroma i aditiva</w:t>
      </w:r>
    </w:p>
    <w:p>
      <w:pPr>
        <w:pStyle w:val="Normal"/>
        <w:rPr/>
      </w:pPr>
      <w:r>
        <w:rPr/>
        <w:t>- GMO free</w:t>
      </w:r>
    </w:p>
    <w:p>
      <w:pPr>
        <w:pStyle w:val="Normal"/>
        <w:rPr/>
      </w:pPr>
      <w:r>
        <w:rPr/>
        <w:t>- Neutralnog do svojstvenog mirisa bezstranog i/ili užeglog</w:t>
      </w:r>
    </w:p>
    <w:p>
      <w:pPr>
        <w:pStyle w:val="Normal"/>
        <w:rPr/>
      </w:pPr>
      <w:r>
        <w:rPr/>
        <w:t xml:space="preserve">  </w:t>
      </w:r>
      <w:r>
        <w:rPr/>
        <w:t>mirisa i okusa</w:t>
      </w:r>
    </w:p>
    <w:p>
      <w:pPr>
        <w:pStyle w:val="Normal"/>
        <w:rPr/>
      </w:pPr>
      <w:r>
        <w:rPr/>
        <w:t>- Tekuća konzistencija</w:t>
      </w:r>
    </w:p>
    <w:p>
      <w:pPr>
        <w:pStyle w:val="Normal"/>
        <w:rPr/>
      </w:pPr>
      <w:r>
        <w:rPr/>
        <w:t>- Ne smije sadržavati komadiće stranih tijela, kapljice vode i sl.</w:t>
      </w:r>
    </w:p>
    <w:p>
      <w:pPr>
        <w:pStyle w:val="Normal"/>
        <w:rPr/>
      </w:pPr>
      <w:r>
        <w:rPr/>
        <w:t>- Bistro na temperaturi 20 °C</w:t>
      </w:r>
    </w:p>
    <w:p>
      <w:pPr>
        <w:pStyle w:val="Normal"/>
        <w:rPr/>
      </w:pPr>
      <w:r>
        <w:rPr/>
        <w:t>- Treba sadržavati najviše od 0,2% slobodnih masnih</w:t>
      </w:r>
    </w:p>
    <w:p>
      <w:pPr>
        <w:pStyle w:val="Normal"/>
        <w:rPr/>
      </w:pPr>
      <w:r>
        <w:rPr/>
        <w:t xml:space="preserve">   </w:t>
      </w:r>
      <w:r>
        <w:rPr/>
        <w:t>kiselina izraženih kao oleinska kiselina.</w:t>
      </w:r>
    </w:p>
    <w:p>
      <w:pPr>
        <w:pStyle w:val="Normal"/>
        <w:rPr/>
      </w:pPr>
      <w:r>
        <w:rPr/>
        <w:t>- Peroksidni broj ulja ne smije biti veći od 5.0 mmol O2/kg</w:t>
      </w:r>
    </w:p>
    <w:p>
      <w:pPr>
        <w:pStyle w:val="Normal"/>
        <w:rPr/>
      </w:pPr>
      <w:r>
        <w:rPr/>
        <w:t>- Može sadržavati najviše do do 0,2% vode i tvari hlapljivih</w:t>
      </w:r>
    </w:p>
    <w:p>
      <w:pPr>
        <w:pStyle w:val="Normal"/>
        <w:rPr/>
      </w:pPr>
      <w:r>
        <w:rPr/>
        <w:t xml:space="preserve">   </w:t>
      </w:r>
      <w:r>
        <w:rPr/>
        <w:t>na temperaturi od 105 °C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BUČINO ULJE:</w:t>
      </w:r>
    </w:p>
    <w:p>
      <w:pPr>
        <w:pStyle w:val="Normal"/>
        <w:rPr/>
      </w:pPr>
      <w:r>
        <w:rPr/>
        <w:t>- karakteristične boje</w:t>
      </w:r>
    </w:p>
    <w:p>
      <w:pPr>
        <w:pStyle w:val="Normal"/>
        <w:rPr/>
      </w:pPr>
      <w:r>
        <w:rPr/>
        <w:t>- mirisa i okusa karakterističnog za vrstu sjemena i ploda</w:t>
      </w:r>
    </w:p>
    <w:p>
      <w:pPr>
        <w:pStyle w:val="Normal"/>
        <w:rPr/>
      </w:pPr>
      <w:r>
        <w:rPr/>
        <w:t>- da ne sadrža više od 2% slobodnih radikala</w:t>
      </w:r>
    </w:p>
    <w:p>
      <w:pPr>
        <w:pStyle w:val="Normal"/>
        <w:rPr/>
      </w:pPr>
      <w:r>
        <w:rPr/>
        <w:t>- da peroksidni broj nije veći od 7mmola O2/kg</w:t>
      </w:r>
    </w:p>
    <w:p>
      <w:pPr>
        <w:pStyle w:val="Normal"/>
        <w:rPr/>
      </w:pPr>
      <w:r>
        <w:rPr/>
        <w:t>- da sadrže najviše 0,4% vode</w:t>
      </w:r>
    </w:p>
    <w:p>
      <w:pPr>
        <w:pStyle w:val="Normal"/>
        <w:rPr/>
      </w:pPr>
      <w:r>
        <w:rPr/>
        <w:t>- da sadrže najviše 0,1% netopljivih nečistoća</w:t>
      </w:r>
    </w:p>
    <w:p>
      <w:pPr>
        <w:pStyle w:val="Normal"/>
        <w:rPr/>
      </w:pPr>
      <w:r>
        <w:rPr>
          <w:b/>
          <w:bCs/>
        </w:rPr>
        <w:t>EKSTRA DJEVIČANSKO MASLINOVO ULJE:</w:t>
      </w:r>
    </w:p>
    <w:p>
      <w:pPr>
        <w:pStyle w:val="Normal"/>
        <w:rPr/>
      </w:pPr>
      <w:r>
        <w:rPr/>
        <w:t>- mora imati senzorska svojstva izražena preko</w:t>
      </w:r>
    </w:p>
    <w:p>
      <w:pPr>
        <w:pStyle w:val="Normal"/>
        <w:rPr/>
      </w:pPr>
      <w:r>
        <w:rPr/>
        <w:t xml:space="preserve">   </w:t>
      </w:r>
      <w:r>
        <w:rPr/>
        <w:t>medijana voćnosti (veći od 0) i medijana mana (= 0)</w:t>
      </w:r>
    </w:p>
    <w:p>
      <w:pPr>
        <w:pStyle w:val="Normal"/>
        <w:rPr>
          <w:b/>
          <w:b/>
          <w:bCs/>
          <w:color w:val="FF0000"/>
        </w:rPr>
      </w:pPr>
      <w:r>
        <w:rPr/>
        <w:t>- mora imati okus i miris na lišće ili plod masline (zelene ili zrele)</w:t>
      </w:r>
    </w:p>
    <w:p>
      <w:pPr>
        <w:pStyle w:val="Normal"/>
        <w:rPr/>
      </w:pPr>
      <w:r>
        <w:rPr>
          <w:b/>
          <w:bCs/>
        </w:rPr>
        <w:t xml:space="preserve">PROPISI : </w:t>
      </w:r>
      <w:r>
        <w:rPr/>
        <w:t>Važeći propisi RH o kakvoći i sigurnosti na dan isporuke proizvoda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DEKLARACIJA:</w:t>
      </w:r>
    </w:p>
    <w:p>
      <w:pPr>
        <w:pStyle w:val="Normal"/>
        <w:rPr/>
      </w:pPr>
      <w:r>
        <w:rPr/>
        <w:t>Uredba (EU) br. 1169/2011 o informiranju potrošača o hrani</w:t>
      </w:r>
    </w:p>
    <w:p>
      <w:pPr>
        <w:pStyle w:val="Normal"/>
        <w:rPr/>
      </w:pPr>
      <w:r>
        <w:rPr/>
        <w:t xml:space="preserve">/ Zakon o informiranju potrošača o hrani (Narodne novine, </w:t>
      </w:r>
    </w:p>
    <w:p>
      <w:pPr>
        <w:pStyle w:val="Normal"/>
        <w:rPr/>
      </w:pPr>
      <w:r>
        <w:rPr/>
        <w:t>br. 56/2013 i 14/2014, 56/16, 32/19).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DOKUMENTACIJA:</w:t>
      </w:r>
    </w:p>
    <w:p>
      <w:pPr>
        <w:pStyle w:val="Normal"/>
        <w:jc w:val="both"/>
        <w:rPr/>
      </w:pPr>
      <w:r>
        <w:rPr/>
        <w:t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(analiza opasnosti na ključnim kontrolnim točkama ) sukladno Zakonu o hrani (NN 81/13) i Zakonu o higijeni hrane i mikrobiološkim kriterijima za hranu (NN 81/13).</w:t>
      </w:r>
    </w:p>
    <w:p>
      <w:pPr>
        <w:pStyle w:val="Normal"/>
        <w:jc w:val="both"/>
        <w:rPr/>
      </w:pPr>
      <w:r>
        <w:rPr/>
        <w:t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</w:t>
      </w:r>
    </w:p>
    <w:p>
      <w:pPr>
        <w:pStyle w:val="Normal"/>
        <w:rPr/>
      </w:pPr>
      <w:r>
        <w:rPr/>
        <w:t>Važeće rješenje/odobrenje/potvrda dostavlja se u presliku.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/>
      </w:pPr>
      <w:r>
        <w:rPr>
          <w:b/>
          <w:bCs/>
        </w:rPr>
        <w:t xml:space="preserve">Specifikacija za ambalažu </w:t>
      </w:r>
      <w:r>
        <w:rPr>
          <w:b w:val="false"/>
          <w:bCs w:val="false"/>
        </w:rPr>
        <w:t xml:space="preserve">( </w:t>
      </w:r>
      <w:r>
        <w:rPr/>
        <w:t>validacijski ispitni izvještaj da ambalaža u koju se pakira hrana je zdravstveno ispravna).</w:t>
      </w:r>
    </w:p>
    <w:p>
      <w:pPr>
        <w:pStyle w:val="Normal"/>
        <w:rPr/>
      </w:pPr>
      <w:r>
        <w:rPr/>
        <w:t>Specifikacije za sve proizvode na hrvatskom jeziku.</w:t>
      </w:r>
    </w:p>
    <w:p>
      <w:pPr>
        <w:pStyle w:val="Normal"/>
        <w:rPr/>
      </w:pPr>
      <w:r>
        <w:rPr/>
        <w:t>Sanitarna knjižica i položen tečaj o higijenskom minimumu, osobe koja manipulira sa hranom (vozač) prema Zakonu o zaštiti pučanstva od zaraznih bolesti(NN 79/07; 113/08; 43/09; 130/2017).</w:t>
      </w:r>
    </w:p>
    <w:p>
      <w:pPr>
        <w:pStyle w:val="Normal"/>
        <w:rPr/>
      </w:pPr>
      <w:r>
        <w:rPr>
          <w:b/>
          <w:bCs/>
        </w:rPr>
        <w:t>ROK UPOTREBE:</w:t>
      </w:r>
      <w:r>
        <w:rPr/>
        <w:t xml:space="preserve"> Najmanje 180 dana od dana isporuke.</w:t>
      </w:r>
    </w:p>
    <w:p>
      <w:pPr>
        <w:pStyle w:val="Normal"/>
        <w:rPr/>
      </w:pPr>
      <w:r>
        <w:rPr>
          <w:b/>
          <w:bCs/>
        </w:rPr>
        <w:t xml:space="preserve">PAKIRANJE: </w:t>
      </w:r>
      <w:r>
        <w:rPr/>
        <w:t>Namjenska kontaktna ambalaža:</w:t>
      </w:r>
    </w:p>
    <w:p>
      <w:pPr>
        <w:pStyle w:val="Normal"/>
        <w:rPr>
          <w:color w:val="000000"/>
        </w:rPr>
      </w:pPr>
      <w:r>
        <w:rPr>
          <w:color w:val="000000"/>
        </w:rPr>
        <w:t>Suncokretovo ulje: plastika 5l/10l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color w:val="000000"/>
        </w:rPr>
      </w:pPr>
      <w:r>
        <w:rPr>
          <w:rFonts w:cs="Calibri"/>
          <w:color w:val="000000"/>
          <w:sz w:val="22"/>
          <w:szCs w:val="22"/>
        </w:rPr>
        <w:t>Maslinovo ulje: staklena boca zapremine 1 L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color w:val="000000"/>
        </w:rPr>
      </w:pPr>
      <w:r>
        <w:rPr>
          <w:rFonts w:cs="Calibri"/>
          <w:color w:val="000000"/>
          <w:sz w:val="22"/>
          <w:szCs w:val="22"/>
        </w:rPr>
        <w:t>Bučino ulje: staklena boca zapremine 0,5 L</w:t>
      </w:r>
    </w:p>
    <w:p>
      <w:pPr>
        <w:pStyle w:val="Normal"/>
        <w:rPr/>
      </w:pPr>
      <w:r>
        <w:rPr/>
        <w:t>Namjenska kartonska nekontaktna ambalaže (kutije).</w:t>
      </w:r>
    </w:p>
    <w:p>
      <w:pPr>
        <w:pStyle w:val="Normal"/>
        <w:rPr/>
      </w:pPr>
      <w:r>
        <w:rPr/>
        <w:t>Ambalaža mora biti neoštećena, suha i zatvorena.</w:t>
      </w:r>
    </w:p>
    <w:p>
      <w:pPr>
        <w:pStyle w:val="Normal"/>
        <w:rPr/>
      </w:pPr>
      <w:r>
        <w:rPr>
          <w:b/>
          <w:bCs/>
        </w:rPr>
        <w:t>TRANSPORT:</w:t>
      </w:r>
    </w:p>
    <w:p>
      <w:pPr>
        <w:pStyle w:val="Normal"/>
        <w:rPr/>
      </w:pPr>
      <w:r>
        <w:rPr/>
        <w:t>o Uvjetno prijevozno sredstvo:</w:t>
      </w:r>
    </w:p>
    <w:p>
      <w:pPr>
        <w:pStyle w:val="Normal"/>
        <w:rPr/>
      </w:pPr>
      <w:r>
        <w:rPr/>
        <w:t>- opće higijensko stanje,</w:t>
      </w:r>
    </w:p>
    <w:p>
      <w:pPr>
        <w:pStyle w:val="Normal"/>
        <w:rPr/>
      </w:pPr>
      <w:r>
        <w:rPr/>
        <w:t>- robno susjedstvo hrane</w:t>
      </w:r>
    </w:p>
    <w:p>
      <w:pPr>
        <w:pStyle w:val="Normal"/>
        <w:rPr/>
      </w:pPr>
      <w:r>
        <w:rPr>
          <w:b/>
          <w:bCs/>
        </w:rPr>
        <w:t xml:space="preserve">DINAMIKA ISPORUKE: </w:t>
      </w:r>
      <w:r>
        <w:rPr/>
        <w:t>Jednom tjedno</w:t>
      </w:r>
    </w:p>
    <w:p>
      <w:pPr>
        <w:pStyle w:val="Normal"/>
        <w:rPr/>
      </w:pPr>
      <w:r>
        <w:rPr>
          <w:b/>
          <w:bCs/>
        </w:rPr>
        <w:t xml:space="preserve">OSTALI ZAHTJEVI: </w:t>
      </w:r>
    </w:p>
    <w:p>
      <w:pPr>
        <w:pStyle w:val="Normal"/>
        <w:rPr/>
      </w:pPr>
      <w:r>
        <w:rPr>
          <w:b/>
          <w:bCs/>
        </w:rPr>
        <w:t xml:space="preserve">- </w:t>
      </w:r>
      <w:r>
        <w:rPr/>
        <w:t xml:space="preserve">Ugovor o nabavi </w:t>
      </w:r>
    </w:p>
    <w:p>
      <w:pPr>
        <w:pStyle w:val="Normal"/>
        <w:rPr/>
      </w:pPr>
      <w:r>
        <w:rPr/>
        <w:t>- Implementiran HACCP sustav</w:t>
      </w:r>
    </w:p>
    <w:p>
      <w:pPr>
        <w:pStyle w:val="Normal"/>
        <w:rPr/>
      </w:pPr>
      <w:r>
        <w:rPr>
          <w:b/>
          <w:bCs/>
        </w:rPr>
        <w:t>NAPOMENA</w:t>
      </w:r>
    </w:p>
    <w:p>
      <w:pPr>
        <w:pStyle w:val="Normal"/>
        <w:jc w:val="both"/>
        <w:rPr/>
      </w:pPr>
      <w:r>
        <w:rPr/>
        <w:t>Specifikacija je sastavni dio Ugovora o nabavi i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</w:t>
      </w:r>
      <w:r>
        <w:rPr/>
        <w:t>Ovjera Ponuditelja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                                                                                          </w:t>
      </w:r>
      <w:r>
        <w:rPr/>
        <w:t>____________________________________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-438785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LibreOffice/6.3.2.2$Windows_X86_64 LibreOffice_project/98b30e735bda24bc04ab42594c85f7fd8be07b9c</Application>
  <Pages>3</Pages>
  <Words>537</Words>
  <Characters>3197</Characters>
  <CharactersWithSpaces>3893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2024-03-28T09:59:26Z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